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69F" w:rsidRPr="00A55C53" w:rsidRDefault="00AE469F" w:rsidP="00AE469F">
      <w:pPr>
        <w:framePr w:hSpace="141" w:wrap="around" w:vAnchor="text" w:hAnchor="margin" w:y="-209"/>
        <w:jc w:val="both"/>
        <w:rPr>
          <w:b/>
          <w:sz w:val="12"/>
          <w:u w:val="single"/>
        </w:rPr>
      </w:pPr>
    </w:p>
    <w:p w:rsidR="00AE469F" w:rsidRDefault="00AE469F" w:rsidP="00AE469F">
      <w:pPr>
        <w:framePr w:hSpace="141" w:wrap="around" w:vAnchor="text" w:hAnchor="margin" w:y="-209"/>
        <w:jc w:val="both"/>
        <w:rPr>
          <w:b/>
          <w:sz w:val="24"/>
          <w:u w:val="single"/>
        </w:rPr>
      </w:pPr>
      <w:r w:rsidRPr="00D37421">
        <w:rPr>
          <w:b/>
          <w:sz w:val="24"/>
          <w:u w:val="single"/>
        </w:rPr>
        <w:t>Fournitures</w:t>
      </w:r>
      <w:r>
        <w:rPr>
          <w:b/>
          <w:sz w:val="24"/>
          <w:u w:val="single"/>
        </w:rPr>
        <w:t xml:space="preserve"> PS</w:t>
      </w:r>
      <w:bookmarkStart w:id="0" w:name="_GoBack"/>
      <w:bookmarkEnd w:id="0"/>
      <w:r w:rsidRPr="00D37421">
        <w:rPr>
          <w:b/>
          <w:sz w:val="24"/>
          <w:u w:val="single"/>
        </w:rPr>
        <w:t xml:space="preserve"> pour la rentrée</w:t>
      </w:r>
      <w:r>
        <w:rPr>
          <w:b/>
          <w:sz w:val="24"/>
          <w:u w:val="single"/>
        </w:rPr>
        <w:t xml:space="preserve"> </w:t>
      </w:r>
      <w:r w:rsidRPr="00ED7533">
        <w:rPr>
          <w:b/>
          <w:sz w:val="24"/>
        </w:rPr>
        <w:t>(à rassembler dans un grand sac cabas et à confier à l’aide maternelle de jour de la rentrée)</w:t>
      </w:r>
    </w:p>
    <w:p w:rsidR="00AE469F" w:rsidRPr="00F53F37" w:rsidRDefault="00AE469F" w:rsidP="00AE469F">
      <w:pPr>
        <w:framePr w:hSpace="141" w:wrap="around" w:vAnchor="text" w:hAnchor="margin" w:y="-209"/>
        <w:jc w:val="both"/>
        <w:rPr>
          <w:b/>
          <w:sz w:val="10"/>
          <w:u w:val="single"/>
        </w:rPr>
      </w:pPr>
    </w:p>
    <w:p w:rsidR="00AE469F" w:rsidRPr="00A1591C" w:rsidRDefault="00AE469F" w:rsidP="00AE469F">
      <w:pPr>
        <w:framePr w:hSpace="141" w:wrap="around" w:vAnchor="text" w:hAnchor="margin" w:y="-209"/>
        <w:jc w:val="both"/>
        <w:rPr>
          <w:sz w:val="24"/>
        </w:rPr>
      </w:pPr>
      <w:r>
        <w:rPr>
          <w:sz w:val="24"/>
        </w:rPr>
        <w:t xml:space="preserve">Toutes les affaires suivantes sont à glisser dans un grand sac cabas et à confier à </w:t>
      </w:r>
      <w:proofErr w:type="gramStart"/>
      <w:r>
        <w:rPr>
          <w:sz w:val="24"/>
        </w:rPr>
        <w:t>l’</w:t>
      </w:r>
      <w:proofErr w:type="spellStart"/>
      <w:r>
        <w:rPr>
          <w:sz w:val="24"/>
        </w:rPr>
        <w:t>enseignant.e</w:t>
      </w:r>
      <w:proofErr w:type="spellEnd"/>
      <w:proofErr w:type="gramEnd"/>
      <w:r>
        <w:rPr>
          <w:sz w:val="24"/>
        </w:rPr>
        <w:t>, le jour de la rentrée.</w:t>
      </w:r>
    </w:p>
    <w:p w:rsidR="00AE469F" w:rsidRPr="00F53F37" w:rsidRDefault="00AE469F" w:rsidP="00AE469F">
      <w:pPr>
        <w:framePr w:hSpace="141" w:wrap="around" w:vAnchor="text" w:hAnchor="margin" w:y="-209"/>
        <w:jc w:val="both"/>
        <w:rPr>
          <w:b/>
          <w:sz w:val="12"/>
          <w:u w:val="single"/>
        </w:rPr>
      </w:pPr>
    </w:p>
    <w:p w:rsidR="00AE469F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Des </w:t>
      </w:r>
      <w:r w:rsidRPr="00525D16">
        <w:rPr>
          <w:b/>
          <w:sz w:val="24"/>
        </w:rPr>
        <w:t xml:space="preserve">chaussures de ville </w:t>
      </w:r>
      <w:r>
        <w:rPr>
          <w:sz w:val="24"/>
        </w:rPr>
        <w:t>simples à enfiler et à fermer (éviter les chaussures type Converse et Doc Martins)</w:t>
      </w:r>
    </w:p>
    <w:p w:rsidR="00AE469F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Une paire de </w:t>
      </w:r>
      <w:r w:rsidRPr="00262CEB">
        <w:rPr>
          <w:b/>
          <w:color w:val="FF0000"/>
          <w:sz w:val="24"/>
          <w:u w:val="single"/>
        </w:rPr>
        <w:t>baskets</w:t>
      </w:r>
      <w:r w:rsidRPr="00FA5876">
        <w:rPr>
          <w:b/>
          <w:sz w:val="24"/>
        </w:rPr>
        <w:t xml:space="preserve"> sans lacets</w:t>
      </w:r>
      <w:r w:rsidRPr="00D37421">
        <w:rPr>
          <w:sz w:val="24"/>
        </w:rPr>
        <w:t xml:space="preserve"> pour l’éducation motrice</w:t>
      </w:r>
    </w:p>
    <w:p w:rsidR="00AE469F" w:rsidRPr="00D37421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Une </w:t>
      </w:r>
      <w:r w:rsidRPr="00A1591C">
        <w:rPr>
          <w:b/>
          <w:sz w:val="24"/>
        </w:rPr>
        <w:t>tenue de change complète</w:t>
      </w:r>
      <w:r>
        <w:rPr>
          <w:sz w:val="24"/>
        </w:rPr>
        <w:t xml:space="preserve">, dans un </w:t>
      </w:r>
      <w:r w:rsidRPr="00A1591C">
        <w:rPr>
          <w:b/>
          <w:sz w:val="24"/>
        </w:rPr>
        <w:t>petit sac en tissus</w:t>
      </w:r>
      <w:r>
        <w:rPr>
          <w:sz w:val="24"/>
        </w:rPr>
        <w:t xml:space="preserve"> qui restera au crochet de l’enfant</w:t>
      </w:r>
    </w:p>
    <w:p w:rsidR="00AE469F" w:rsidRPr="00BA49E2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 w:rsidRPr="00D37421">
        <w:rPr>
          <w:color w:val="000000"/>
          <w:sz w:val="24"/>
          <w:szCs w:val="24"/>
        </w:rPr>
        <w:t xml:space="preserve">Un </w:t>
      </w:r>
      <w:r w:rsidRPr="004C58EC">
        <w:rPr>
          <w:b/>
          <w:color w:val="000000"/>
          <w:sz w:val="24"/>
          <w:szCs w:val="24"/>
        </w:rPr>
        <w:t xml:space="preserve">petit </w:t>
      </w:r>
      <w:r w:rsidRPr="00D37421">
        <w:rPr>
          <w:b/>
          <w:color w:val="000000"/>
          <w:sz w:val="24"/>
          <w:szCs w:val="24"/>
        </w:rPr>
        <w:t>sac à dos</w:t>
      </w:r>
      <w:r w:rsidRPr="00D37421">
        <w:rPr>
          <w:color w:val="000000"/>
          <w:sz w:val="24"/>
          <w:szCs w:val="24"/>
        </w:rPr>
        <w:t xml:space="preserve"> pour les élèves fréquentant le périscolaire le matin ou le soir, afin d’éviter que les mots d’information ne se perdent).</w:t>
      </w:r>
    </w:p>
    <w:p w:rsidR="00AE469F" w:rsidRPr="00B21F00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Une </w:t>
      </w:r>
      <w:r w:rsidRPr="00BA49E2">
        <w:rPr>
          <w:b/>
          <w:color w:val="000000"/>
          <w:sz w:val="24"/>
          <w:szCs w:val="24"/>
        </w:rPr>
        <w:t>serviette de table</w:t>
      </w:r>
      <w:r>
        <w:rPr>
          <w:color w:val="000000"/>
          <w:sz w:val="24"/>
          <w:szCs w:val="24"/>
        </w:rPr>
        <w:t xml:space="preserve">, une </w:t>
      </w:r>
      <w:r w:rsidRPr="00BA49E2">
        <w:rPr>
          <w:b/>
          <w:color w:val="000000"/>
          <w:sz w:val="24"/>
          <w:szCs w:val="24"/>
        </w:rPr>
        <w:t>cuillère</w:t>
      </w:r>
      <w:r>
        <w:rPr>
          <w:color w:val="000000"/>
          <w:sz w:val="24"/>
          <w:szCs w:val="24"/>
        </w:rPr>
        <w:t xml:space="preserve"> si votre enfant prend un petit déjeuner</w:t>
      </w:r>
    </w:p>
    <w:p w:rsidR="00AE469F" w:rsidRPr="00D37421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 w:rsidRPr="00D37421">
        <w:rPr>
          <w:color w:val="000000"/>
          <w:sz w:val="24"/>
          <w:szCs w:val="24"/>
        </w:rPr>
        <w:t xml:space="preserve">Un </w:t>
      </w:r>
      <w:r w:rsidRPr="00D37421">
        <w:rPr>
          <w:b/>
          <w:color w:val="000000"/>
          <w:sz w:val="24"/>
          <w:szCs w:val="24"/>
        </w:rPr>
        <w:t>sac en tissu</w:t>
      </w:r>
      <w:r>
        <w:rPr>
          <w:color w:val="000000"/>
          <w:sz w:val="24"/>
          <w:szCs w:val="24"/>
        </w:rPr>
        <w:t xml:space="preserve"> ou en plastique solide</w:t>
      </w:r>
      <w:r w:rsidRPr="00D37421">
        <w:rPr>
          <w:color w:val="000000"/>
          <w:sz w:val="24"/>
          <w:szCs w:val="24"/>
        </w:rPr>
        <w:t xml:space="preserve"> (pour le prêt de livres de bibliothèque. Taille idéale : environ </w:t>
      </w:r>
      <w:r>
        <w:rPr>
          <w:color w:val="000000"/>
          <w:sz w:val="24"/>
          <w:szCs w:val="24"/>
        </w:rPr>
        <w:t xml:space="preserve">30 </w:t>
      </w:r>
      <w:r w:rsidRPr="00D37421"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40</w:t>
      </w:r>
      <w:r w:rsidRPr="00D37421">
        <w:rPr>
          <w:color w:val="000000"/>
          <w:sz w:val="24"/>
          <w:szCs w:val="24"/>
        </w:rPr>
        <w:t xml:space="preserve"> cm)</w:t>
      </w:r>
    </w:p>
    <w:p w:rsidR="00AE469F" w:rsidRPr="004A096F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 w:rsidRPr="004A096F">
        <w:rPr>
          <w:sz w:val="24"/>
          <w:szCs w:val="24"/>
        </w:rPr>
        <w:t xml:space="preserve">Un </w:t>
      </w:r>
      <w:r w:rsidRPr="004A096F">
        <w:rPr>
          <w:b/>
          <w:sz w:val="24"/>
          <w:szCs w:val="24"/>
        </w:rPr>
        <w:t>grand classeur</w:t>
      </w:r>
      <w:r w:rsidRPr="004A096F">
        <w:rPr>
          <w:sz w:val="24"/>
          <w:szCs w:val="24"/>
        </w:rPr>
        <w:t xml:space="preserve"> </w:t>
      </w:r>
      <w:r w:rsidRPr="004A096F">
        <w:rPr>
          <w:b/>
          <w:i/>
          <w:sz w:val="24"/>
          <w:szCs w:val="24"/>
        </w:rPr>
        <w:t>2 anneaux</w:t>
      </w:r>
      <w:r w:rsidRPr="004A096F">
        <w:rPr>
          <w:sz w:val="24"/>
          <w:szCs w:val="24"/>
        </w:rPr>
        <w:t xml:space="preserve">. (Épaisseur </w:t>
      </w:r>
      <w:r w:rsidRPr="004A096F">
        <w:rPr>
          <w:b/>
          <w:sz w:val="24"/>
          <w:szCs w:val="24"/>
        </w:rPr>
        <w:t>4cm</w:t>
      </w:r>
      <w:r w:rsidRPr="004A096F">
        <w:rPr>
          <w:sz w:val="24"/>
          <w:szCs w:val="24"/>
        </w:rPr>
        <w:t>)</w:t>
      </w:r>
    </w:p>
    <w:p w:rsidR="00AE469F" w:rsidRPr="007B26F3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>
        <w:rPr>
          <w:sz w:val="24"/>
          <w:szCs w:val="24"/>
        </w:rPr>
        <w:t xml:space="preserve">Un </w:t>
      </w:r>
      <w:r w:rsidRPr="00A55C53">
        <w:rPr>
          <w:b/>
          <w:sz w:val="24"/>
          <w:szCs w:val="24"/>
        </w:rPr>
        <w:t>protège-cahier incolore</w:t>
      </w:r>
      <w:r>
        <w:rPr>
          <w:sz w:val="24"/>
          <w:szCs w:val="24"/>
        </w:rPr>
        <w:t xml:space="preserve"> (format </w:t>
      </w:r>
      <w:r w:rsidRPr="00A55C53">
        <w:rPr>
          <w:b/>
          <w:sz w:val="24"/>
          <w:szCs w:val="24"/>
        </w:rPr>
        <w:t>21 x 29.7 cm</w:t>
      </w:r>
      <w:r>
        <w:rPr>
          <w:sz w:val="24"/>
          <w:szCs w:val="24"/>
        </w:rPr>
        <w:t>) pour couvrir le Carnet de Suivi des Apprentissages</w:t>
      </w:r>
    </w:p>
    <w:p w:rsidR="00AE469F" w:rsidRPr="00B25402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 w:rsidRPr="00B25402">
        <w:rPr>
          <w:sz w:val="24"/>
          <w:szCs w:val="24"/>
        </w:rPr>
        <w:t xml:space="preserve">Une </w:t>
      </w:r>
      <w:r w:rsidRPr="00B25402">
        <w:rPr>
          <w:b/>
          <w:sz w:val="24"/>
          <w:szCs w:val="24"/>
        </w:rPr>
        <w:t>attestation d’assurance</w:t>
      </w:r>
      <w:r w:rsidRPr="00B25402">
        <w:rPr>
          <w:sz w:val="24"/>
          <w:szCs w:val="24"/>
        </w:rPr>
        <w:t xml:space="preserve"> pour l’année scolaire </w:t>
      </w:r>
      <w:r>
        <w:rPr>
          <w:sz w:val="24"/>
          <w:szCs w:val="24"/>
        </w:rPr>
        <w:t>2025/2026</w:t>
      </w:r>
      <w:r w:rsidRPr="006A4583">
        <w:rPr>
          <w:sz w:val="24"/>
          <w:szCs w:val="24"/>
        </w:rPr>
        <w:t xml:space="preserve"> </w:t>
      </w:r>
      <w:r w:rsidRPr="00B25402">
        <w:rPr>
          <w:sz w:val="24"/>
          <w:szCs w:val="24"/>
        </w:rPr>
        <w:t>(</w:t>
      </w:r>
      <w:r w:rsidRPr="00B25402">
        <w:rPr>
          <w:b/>
          <w:sz w:val="24"/>
          <w:szCs w:val="24"/>
        </w:rPr>
        <w:t>Responsabilité civile</w:t>
      </w:r>
      <w:r>
        <w:rPr>
          <w:b/>
          <w:sz w:val="24"/>
          <w:szCs w:val="24"/>
        </w:rPr>
        <w:t xml:space="preserve"> </w:t>
      </w:r>
      <w:r>
        <w:rPr>
          <w:sz w:val="18"/>
        </w:rPr>
        <w:t>(p</w:t>
      </w:r>
      <w:r w:rsidRPr="00B25402">
        <w:rPr>
          <w:sz w:val="18"/>
        </w:rPr>
        <w:t>our les dommages dont l’enfant serait l’auteur)</w:t>
      </w:r>
      <w:r w:rsidRPr="00B25402">
        <w:rPr>
          <w:sz w:val="24"/>
          <w:szCs w:val="24"/>
        </w:rPr>
        <w:t xml:space="preserve"> + </w:t>
      </w:r>
      <w:r w:rsidRPr="00B25402">
        <w:rPr>
          <w:b/>
          <w:sz w:val="24"/>
          <w:szCs w:val="24"/>
        </w:rPr>
        <w:t>Individuelle Accident</w:t>
      </w:r>
      <w:r>
        <w:rPr>
          <w:b/>
          <w:sz w:val="24"/>
          <w:szCs w:val="24"/>
        </w:rPr>
        <w:t xml:space="preserve"> </w:t>
      </w:r>
      <w:r>
        <w:rPr>
          <w:sz w:val="18"/>
        </w:rPr>
        <w:t>(p</w:t>
      </w:r>
      <w:r w:rsidRPr="00B25402">
        <w:rPr>
          <w:sz w:val="18"/>
        </w:rPr>
        <w:t>our ceux qu’il pourrait subir)</w:t>
      </w:r>
      <w:r w:rsidRPr="00B25402">
        <w:rPr>
          <w:sz w:val="24"/>
          <w:szCs w:val="24"/>
        </w:rPr>
        <w:t>)</w:t>
      </w:r>
    </w:p>
    <w:p w:rsidR="00AE469F" w:rsidRPr="00945146" w:rsidRDefault="00AE469F" w:rsidP="00AE469F">
      <w:pPr>
        <w:pStyle w:val="Paragraphedeliste"/>
        <w:framePr w:hSpace="141" w:wrap="around" w:vAnchor="text" w:hAnchor="margin" w:y="-209"/>
        <w:numPr>
          <w:ilvl w:val="0"/>
          <w:numId w:val="1"/>
        </w:numPr>
        <w:jc w:val="both"/>
        <w:rPr>
          <w:sz w:val="24"/>
        </w:rPr>
      </w:pPr>
      <w:r>
        <w:rPr>
          <w:sz w:val="24"/>
          <w:szCs w:val="24"/>
        </w:rPr>
        <w:t>4</w:t>
      </w:r>
      <w:r w:rsidRPr="00D0789C">
        <w:rPr>
          <w:sz w:val="24"/>
          <w:szCs w:val="24"/>
        </w:rPr>
        <w:t xml:space="preserve"> </w:t>
      </w:r>
      <w:r w:rsidRPr="00D0789C">
        <w:rPr>
          <w:b/>
          <w:sz w:val="24"/>
          <w:szCs w:val="24"/>
        </w:rPr>
        <w:t>boîtes de mouchoirs</w:t>
      </w:r>
      <w:r w:rsidRPr="00D0789C">
        <w:rPr>
          <w:sz w:val="24"/>
          <w:szCs w:val="24"/>
        </w:rPr>
        <w:t xml:space="preserve"> en papier</w:t>
      </w:r>
    </w:p>
    <w:p w:rsidR="002561F3" w:rsidRDefault="00AE469F" w:rsidP="00AE469F">
      <w:r>
        <w:rPr>
          <w:sz w:val="24"/>
        </w:rPr>
        <w:t xml:space="preserve">Une </w:t>
      </w:r>
      <w:r w:rsidRPr="00945146">
        <w:rPr>
          <w:b/>
          <w:sz w:val="24"/>
        </w:rPr>
        <w:t>gourde</w:t>
      </w:r>
      <w:r>
        <w:rPr>
          <w:sz w:val="24"/>
        </w:rPr>
        <w:t xml:space="preserve"> </w:t>
      </w:r>
      <w:r w:rsidRPr="00652AE4">
        <w:rPr>
          <w:b/>
          <w:sz w:val="24"/>
          <w:u w:val="single"/>
        </w:rPr>
        <w:t>transparente</w:t>
      </w:r>
      <w:r>
        <w:rPr>
          <w:sz w:val="24"/>
        </w:rPr>
        <w:t xml:space="preserve"> (afin de pouvoir visualiser rapidement le niveau d’eau) simple d’utilisation</w:t>
      </w:r>
    </w:p>
    <w:sectPr w:rsidR="0025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A3"/>
    <w:multiLevelType w:val="hybridMultilevel"/>
    <w:tmpl w:val="2C82D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9F"/>
    <w:rsid w:val="002561F3"/>
    <w:rsid w:val="00A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045B"/>
  <w15:chartTrackingRefBased/>
  <w15:docId w15:val="{B2673D37-6FAF-489F-AC71-23A6F53C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6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2025-06-30T09:22:00Z</dcterms:created>
  <dcterms:modified xsi:type="dcterms:W3CDTF">2025-06-30T09:23:00Z</dcterms:modified>
</cp:coreProperties>
</file>